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Учёный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Учёный совет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Ученый советфедерального государственного казенного учреждения"Научно-исследовательский институт "Респиратор" МинистерстваРоссийской Федерации по делам гражданской обороны, чрезвычайнымситуациям и ликвидации последствий стихийных бедствий"– постояннодействующий коллегиальный совещательный орган управления научной инаучно-технической деятельностью в соответствии с Положением обУчёном совете .</w:t>
            </w:r>
            <w:br/>
            <w:br/>
            <w:r>
              <w:rPr/>
              <w:t xml:space="preserve">Секции Учёного совета:</w:t>
            </w:r>
            <w:br/>
            <w:br/>
            <w:r>
              <w:rPr/>
              <w:t xml:space="preserve">• «Предупреждение и ликвидация чрезвычайных ситуаций»;</w:t>
            </w:r>
            <w:br/>
            <w:br/>
            <w:r>
              <w:rPr/>
              <w:t xml:space="preserve">• «Безопасность жизнедеятельности в чрезвычайных ситуациях».</w:t>
            </w:r>
            <w:br/>
            <w:br/>
            <w:r>
              <w:rPr/>
              <w:t xml:space="preserve">В состав Учёного совета входят ведущие специалисты в областигражданской защиты, безопасности жизнедеятельности, пожарной итехногенной безопасности.</w:t>
            </w:r>
            <w:br/>
            <w:br/>
            <w:r>
              <w:rPr/>
              <w:t xml:space="preserve">Основные задачи Учёного совета:</w:t>
            </w:r>
            <w:br/>
            <w:br/>
            <w:r>
              <w:rPr/>
              <w:t xml:space="preserve">• определение перспективных направлений научной инаучно-технической деятельности института в областигорноспасательного дела, пожарной безопасности и гражданскойзащиты, направленных на защиту населения и территорий отчрезвычайных ситуаций и их предупреждение;</w:t>
            </w:r>
            <w:br/>
            <w:br/>
            <w:r>
              <w:rPr/>
              <w:t xml:space="preserve">• научная и научно-техническая оценка тематики и результатоввыполненных научно-исследовательских работ;</w:t>
            </w:r>
            <w:br/>
            <w:br/>
            <w:r>
              <w:rPr/>
              <w:t xml:space="preserve">• оценка результатов подготовки научных кадров высшей квалификациипри аспирантуре института.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2026-06-30T22:44:16+03:00</dcterms:created>
  <dcterms:modified xsi:type="dcterms:W3CDTF">2026-06-30T22:44:16+03:00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