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Задачи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Задачи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Научная инаучно-техническая деятельность:</w:t>
            </w:r>
            <w:br/>
            <w:br/>
            <w:r>
              <w:rPr/>
              <w:t xml:space="preserve">    • разработка теоретических основ горноспасательногодела, пожарной безопасности и гражданской защиты, стратегии ихразвития и мер по реализации государственной политики в этихсферах;</w:t>
            </w:r>
            <w:br/>
            <w:br/>
            <w:r>
              <w:rPr/>
              <w:t xml:space="preserve">    • совершенствование мер защиты населения и территорийот чрезвычайных ситуаций и их предотвращение;</w:t>
            </w:r>
            <w:br/>
            <w:br/>
            <w:r>
              <w:rPr/>
              <w:t xml:space="preserve">    • обеспечение пожарной и техногеннойбезопасности;</w:t>
            </w:r>
            <w:br/>
            <w:br/>
            <w:r>
              <w:rPr/>
              <w:t xml:space="preserve">    • прикладные исследования в области безопасностижизнедеятельности, ликвидации последствий чрезвычайных ситуаций,аварийно-спасательного дела и совершенствование сил и средствгражданской защиты.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2026-08-18T15:16:16+03:00</dcterms:created>
  <dcterms:modified xsi:type="dcterms:W3CDTF">2026-08-18T15:16:16+03:00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