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Научно-исследовательский отдел гражданской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Научно-исследовательский отдел гражданской защиты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Основныенаправления деятельности:</w:t>
            </w:r>
            <w:br/>
            <w:br/>
            <w:r>
              <w:rPr/>
              <w:t xml:space="preserve">    • разработка теоретических основ гражданской защиты,стратегии развития и мер государственной политики в сферегражданской защиты;</w:t>
            </w:r>
            <w:br/>
            <w:br/>
            <w:r>
              <w:rPr/>
              <w:t xml:space="preserve">    • исследование проблем ликвидации чрезвычайныхситуаций, проведения аварийно-спасательных работ, развития сил испособов гражданской защиты, обеспечения функционирования системыгражданской защиты и ее подсистем;</w:t>
            </w:r>
            <w:br/>
            <w:br/>
            <w:r>
              <w:rPr/>
              <w:t xml:space="preserve">    • совершенствование нормативно-методической базы повопросам защиты населения и территорий от чрезвычайных ситуацийприродного и техногенного характера и предупреждения возникновениячрезвычайных ситуаций;</w:t>
            </w:r>
            <w:br/>
            <w:br/>
            <w:r>
              <w:rPr/>
              <w:t xml:space="preserve">    • усовершенствование технологий ликвидациипоследствий чрезвычайных ситуаций;</w:t>
            </w:r>
            <w:br/>
            <w:br/>
            <w:r>
              <w:rPr/>
              <w:t xml:space="preserve">    • разработка новых и усовершенствование существующихмер защиты населения и территорий от чрезвычайных ситуаций;</w:t>
            </w:r>
            <w:br/>
            <w:br/>
            <w:r>
              <w:rPr/>
              <w:t xml:space="preserve">    • оценка эффективности внедрения средств защитынаселения и территорий от чрезвычайных ситуаций, а также технологийих использования.</w:t>
            </w:r>
            <w:br/>
            <w:br/>
            <w:r>
              <w:rPr>
                <w:b w:val="1"/>
                <w:bCs w:val="1"/>
              </w:rPr>
              <w:t xml:space="preserve">Разработаны в последнее время:</w:t>
            </w:r>
            <w:br/>
            <w:br/>
            <w:br/>
            <w:br/>
            <w:r>
              <w:rPr/>
              <w:t xml:space="preserve">Рекомендации по оценке функционального состояния спасателей,выполняющих профессиональные задачи в экстремальных условиях;Пособие по организации мероприятий радиационной, химической ибиологической защиты при ликвидации чрезвычайных ситуаций и ихпоследствий; Пособие по применению средств индивидуальной защиты ивспомогательного оснащения спасателей; Методические рекомендации повыбору и обоснованию номенклатуры сорбентов на основе природныхпористых материалов для поглощения аварийно химически опасныхвеществ; Проект Концепции создания системы обеспечения вызоваэкстренных оперативных служб по единому номеру «112» в ДонецкойНародной Республике; Типовой перечень документов по гражданскойобороне, подлежащих разработке в органах исполнительной власти,органах местного самоуправления, организациях, учреждениях ипредприятиях независимо от форм собственности; Пособие по снижениюриска воздействия аварийно химически опасных веществ на химическиопасных объектах; Правила безопасности труда в территориальныхорганах МЧС ДНР; Методические рекомендации по организации тушенияпожаров, ликвидации аварий и ведению аварийно-спасательных работ нахимически опасных объектах; Порядок организации обучения населениядействиям в чрезвычайных ситуациях; Инструкция по тушению пожаров врезервуарах и ёмкостях с нефтью и нефтепродуктами; Инструкция потушению пожаров и ликвидации последствий чрезвычайных ситуаций наподвижных составах железнодорожных цистерн и в ёмкостях сосжиженными углеводородными газами и жидкими углеводородами.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2025-12-03T23:29:42+03:00</dcterms:created>
  <dcterms:modified xsi:type="dcterms:W3CDTF">2025-12-03T23:29:42+03:00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